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4C86" w14:textId="77777777" w:rsidR="00BE5533" w:rsidRDefault="00000000">
      <w:pPr>
        <w:spacing w:after="0" w:line="259" w:lineRule="auto"/>
        <w:ind w:left="4" w:right="0" w:firstLine="0"/>
        <w:jc w:val="left"/>
      </w:pPr>
      <w:r>
        <w:rPr>
          <w:noProof/>
        </w:rPr>
        <w:drawing>
          <wp:inline distT="0" distB="0" distL="0" distR="0" wp14:anchorId="1858270D" wp14:editId="08DED7A5">
            <wp:extent cx="6859906" cy="74803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9906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A40F" w14:textId="77777777" w:rsidR="00BE5533" w:rsidRDefault="00000000">
      <w:pPr>
        <w:spacing w:after="17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   </w:t>
      </w:r>
    </w:p>
    <w:p w14:paraId="6005ABD4" w14:textId="75D720B4" w:rsidR="00BE5533" w:rsidRPr="005D799B" w:rsidRDefault="00000000" w:rsidP="005D799B">
      <w:pPr>
        <w:spacing w:after="10" w:line="269" w:lineRule="auto"/>
        <w:ind w:left="7371" w:right="-104" w:firstLine="0"/>
        <w:jc w:val="left"/>
        <w:rPr>
          <w:color w:val="000000"/>
          <w:sz w:val="24"/>
        </w:rPr>
      </w:pPr>
      <w:r w:rsidRPr="005D799B">
        <w:rPr>
          <w:color w:val="000000"/>
          <w:sz w:val="24"/>
        </w:rPr>
        <w:t xml:space="preserve">Утвержден  </w:t>
      </w:r>
    </w:p>
    <w:p w14:paraId="549DBB9B" w14:textId="77777777" w:rsidR="00BE5533" w:rsidRPr="005D799B" w:rsidRDefault="00000000" w:rsidP="005D799B">
      <w:pPr>
        <w:spacing w:after="12" w:line="259" w:lineRule="auto"/>
        <w:ind w:left="7371" w:right="0" w:firstLine="0"/>
        <w:jc w:val="left"/>
        <w:rPr>
          <w:sz w:val="24"/>
        </w:rPr>
      </w:pPr>
      <w:r w:rsidRPr="005D799B">
        <w:rPr>
          <w:color w:val="7F7F7F"/>
          <w:sz w:val="24"/>
        </w:rPr>
        <w:t xml:space="preserve"> </w:t>
      </w:r>
    </w:p>
    <w:p w14:paraId="7F7FDB6F" w14:textId="77777777" w:rsidR="005D799B" w:rsidRPr="005D799B" w:rsidRDefault="00000000" w:rsidP="005D799B">
      <w:pPr>
        <w:spacing w:after="10" w:line="269" w:lineRule="auto"/>
        <w:ind w:left="7371" w:right="-104" w:firstLine="0"/>
        <w:jc w:val="left"/>
        <w:rPr>
          <w:color w:val="000000"/>
          <w:sz w:val="24"/>
        </w:rPr>
      </w:pPr>
      <w:r w:rsidRPr="005D799B">
        <w:rPr>
          <w:color w:val="000000"/>
          <w:sz w:val="24"/>
        </w:rPr>
        <w:t xml:space="preserve">Генеральным директором </w:t>
      </w:r>
    </w:p>
    <w:p w14:paraId="6BAC4796" w14:textId="77777777" w:rsidR="005D799B" w:rsidRDefault="00000000" w:rsidP="005D799B">
      <w:pPr>
        <w:spacing w:after="10" w:line="269" w:lineRule="auto"/>
        <w:ind w:left="7371" w:right="-104" w:firstLine="0"/>
        <w:jc w:val="left"/>
        <w:rPr>
          <w:color w:val="000000"/>
          <w:sz w:val="24"/>
        </w:rPr>
      </w:pPr>
      <w:r w:rsidRPr="005D799B">
        <w:rPr>
          <w:color w:val="000000"/>
          <w:sz w:val="24"/>
        </w:rPr>
        <w:t xml:space="preserve">АО «Прайм Брокерский Сервис» приказ </w:t>
      </w:r>
    </w:p>
    <w:p w14:paraId="4FC10410" w14:textId="74DD5FAC" w:rsidR="005D799B" w:rsidRPr="005D799B" w:rsidRDefault="00000000" w:rsidP="005D799B">
      <w:pPr>
        <w:spacing w:after="10" w:line="269" w:lineRule="auto"/>
        <w:ind w:left="7371" w:right="-104" w:firstLine="0"/>
        <w:jc w:val="left"/>
        <w:rPr>
          <w:color w:val="000000"/>
          <w:sz w:val="24"/>
        </w:rPr>
      </w:pPr>
      <w:r w:rsidRPr="005D799B">
        <w:rPr>
          <w:color w:val="000000"/>
          <w:sz w:val="24"/>
        </w:rPr>
        <w:t>от «</w:t>
      </w:r>
      <w:r w:rsidR="005D799B" w:rsidRPr="005D799B">
        <w:rPr>
          <w:color w:val="000000"/>
          <w:sz w:val="24"/>
        </w:rPr>
        <w:t>17</w:t>
      </w:r>
      <w:r w:rsidRPr="005D799B">
        <w:rPr>
          <w:color w:val="000000"/>
          <w:sz w:val="24"/>
        </w:rPr>
        <w:t xml:space="preserve">» </w:t>
      </w:r>
      <w:r w:rsidR="005D799B" w:rsidRPr="005D799B">
        <w:rPr>
          <w:color w:val="000000"/>
          <w:sz w:val="24"/>
        </w:rPr>
        <w:t xml:space="preserve">декабря </w:t>
      </w:r>
      <w:r w:rsidRPr="005D799B">
        <w:rPr>
          <w:color w:val="000000"/>
          <w:sz w:val="24"/>
        </w:rPr>
        <w:t>202</w:t>
      </w:r>
      <w:r w:rsidR="005D799B" w:rsidRPr="005D799B">
        <w:rPr>
          <w:color w:val="000000"/>
          <w:sz w:val="24"/>
        </w:rPr>
        <w:t>4</w:t>
      </w:r>
      <w:r w:rsidRPr="005D799B">
        <w:rPr>
          <w:color w:val="000000"/>
          <w:sz w:val="24"/>
        </w:rPr>
        <w:t xml:space="preserve"> г. </w:t>
      </w:r>
    </w:p>
    <w:p w14:paraId="4233101C" w14:textId="16A8408C" w:rsidR="00BE5533" w:rsidRPr="005D799B" w:rsidRDefault="00000000" w:rsidP="005D799B">
      <w:pPr>
        <w:spacing w:after="10" w:line="269" w:lineRule="auto"/>
        <w:ind w:left="7371" w:right="-104" w:firstLine="0"/>
        <w:jc w:val="left"/>
        <w:rPr>
          <w:sz w:val="24"/>
        </w:rPr>
      </w:pPr>
      <w:r w:rsidRPr="005D799B">
        <w:rPr>
          <w:color w:val="000000"/>
          <w:sz w:val="24"/>
        </w:rPr>
        <w:t>№ ВнД-</w:t>
      </w:r>
      <w:r w:rsidR="005D799B" w:rsidRPr="005D799B">
        <w:rPr>
          <w:color w:val="000000"/>
          <w:sz w:val="24"/>
        </w:rPr>
        <w:t>21</w:t>
      </w:r>
    </w:p>
    <w:p w14:paraId="3BFDE41B" w14:textId="77777777" w:rsidR="00BE5533" w:rsidRDefault="00000000" w:rsidP="005D799B">
      <w:pPr>
        <w:spacing w:after="0" w:line="259" w:lineRule="auto"/>
        <w:ind w:left="0" w:right="0" w:firstLine="0"/>
        <w:jc w:val="righ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1624A2CC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16862E6C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34AFB58F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53D4FDFF" w14:textId="77777777" w:rsidR="00BE5533" w:rsidRDefault="00000000">
      <w:pPr>
        <w:spacing w:after="66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2D2111AE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31"/>
        </w:rPr>
        <w:t xml:space="preserve"> </w:t>
      </w:r>
    </w:p>
    <w:p w14:paraId="68B00538" w14:textId="2B3C3888" w:rsidR="00BE5533" w:rsidRDefault="00000000" w:rsidP="005D799B">
      <w:pPr>
        <w:pStyle w:val="1"/>
        <w:ind w:left="0" w:right="38" w:firstLine="0"/>
        <w:jc w:val="both"/>
      </w:pPr>
      <w:r>
        <w:t>Порядок проведения тестирования Клиента – физического</w:t>
      </w:r>
      <w:r w:rsidR="005D799B">
        <w:t xml:space="preserve"> </w:t>
      </w:r>
      <w:r>
        <w:t>лица, не являющегося квалифицированным инвестором</w:t>
      </w:r>
      <w:r w:rsidR="00242654">
        <w:t>,</w:t>
      </w:r>
      <w:r>
        <w:t xml:space="preserve">  в</w:t>
      </w:r>
      <w:r w:rsidR="005D799B">
        <w:t xml:space="preserve"> </w:t>
      </w:r>
      <w:r>
        <w:t>Акционерном обществе «Прайм Брокерский сервис»</w:t>
      </w:r>
    </w:p>
    <w:p w14:paraId="43C51A59" w14:textId="77777777" w:rsidR="00BE5533" w:rsidRDefault="00000000">
      <w:pPr>
        <w:spacing w:after="19" w:line="259" w:lineRule="auto"/>
        <w:ind w:left="0" w:right="0" w:firstLine="0"/>
        <w:jc w:val="left"/>
      </w:pPr>
      <w:r>
        <w:rPr>
          <w:b/>
          <w:color w:val="FFFFFF"/>
          <w:sz w:val="24"/>
        </w:rPr>
        <w:t>«Сервис»</w:t>
      </w:r>
      <w:r>
        <w:rPr>
          <w:b/>
          <w:color w:val="000000"/>
          <w:sz w:val="24"/>
        </w:rPr>
        <w:t xml:space="preserve">. </w:t>
      </w:r>
    </w:p>
    <w:p w14:paraId="7B909C79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b/>
          <w:color w:val="000000"/>
          <w:sz w:val="24"/>
        </w:rPr>
        <w:t xml:space="preserve"> </w:t>
      </w:r>
    </w:p>
    <w:p w14:paraId="75CFCD7B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0AEDE1" w14:textId="77777777" w:rsidR="00BE5533" w:rsidRDefault="00000000">
      <w:pPr>
        <w:spacing w:after="19" w:line="259" w:lineRule="auto"/>
        <w:ind w:left="0" w:right="0" w:firstLine="0"/>
        <w:jc w:val="left"/>
      </w:pPr>
      <w:r>
        <w:rPr>
          <w:b/>
          <w:color w:val="000000"/>
          <w:sz w:val="16"/>
        </w:rPr>
        <w:t xml:space="preserve"> </w:t>
      </w:r>
    </w:p>
    <w:p w14:paraId="7E54B6DD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</w:t>
      </w:r>
      <w:r>
        <w:br w:type="page"/>
      </w:r>
    </w:p>
    <w:p w14:paraId="02B75DCF" w14:textId="77777777" w:rsidR="00242654" w:rsidRPr="00242654" w:rsidRDefault="00000000">
      <w:pPr>
        <w:numPr>
          <w:ilvl w:val="0"/>
          <w:numId w:val="1"/>
        </w:numPr>
        <w:ind w:right="0" w:hanging="566"/>
      </w:pPr>
      <w:r>
        <w:rPr>
          <w:b/>
          <w:color w:val="000000"/>
          <w:sz w:val="22"/>
        </w:rPr>
        <w:lastRenderedPageBreak/>
        <w:t>Общие положения</w:t>
      </w:r>
      <w:r>
        <w:rPr>
          <w:b/>
          <w:color w:val="000000"/>
        </w:rPr>
        <w:t xml:space="preserve"> </w:t>
      </w:r>
    </w:p>
    <w:p w14:paraId="12F82C3B" w14:textId="1DFC0DA4" w:rsidR="00BE5533" w:rsidRDefault="00000000" w:rsidP="00242654">
      <w:pPr>
        <w:ind w:left="772" w:right="0" w:firstLine="0"/>
      </w:pPr>
      <w:r>
        <w:t xml:space="preserve">Настоящий Порядок проведения тестирования Клиента – физического лица, не являющегося квалифицированным инвестором, в Акционерном Обществе «Прайм Брокерский Сервис» (далее – АО «ПБС» и / или Компания ) ( далее -Порядок) разработан на основании ст. 3.1 Федерального закона от 22.04.1996 № 39- ФЗ «О рынке ценных бумаг» и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брокеров, утвержденного Банком  России </w:t>
      </w:r>
      <w:r w:rsidR="00242654">
        <w:t>29.12.2022</w:t>
      </w:r>
      <w:r>
        <w:t xml:space="preserve"> и определяет основные принципы в области защиты прав и интересов получателей финансовых услуг, устанавливая требования, которыми АО «ПБС» должно руководствоваться в процессе осуществления своей деятельности. </w:t>
      </w:r>
    </w:p>
    <w:p w14:paraId="55C5954B" w14:textId="77777777" w:rsidR="00BE5533" w:rsidRDefault="00000000">
      <w:pPr>
        <w:numPr>
          <w:ilvl w:val="0"/>
          <w:numId w:val="1"/>
        </w:numPr>
        <w:ind w:right="0" w:hanging="566"/>
      </w:pPr>
      <w:r>
        <w:t xml:space="preserve">АО «ПБС» внесено в Реестр инвестиционных советников в соответствии с Федеральным Законом 39-ФЗ «О рынке ценных бумаг», является профессиональным участником рынка ценных бумаг и имеет следующие лицензии: </w:t>
      </w:r>
    </w:p>
    <w:p w14:paraId="17FD517D" w14:textId="77777777" w:rsidR="00BE5533" w:rsidRDefault="00000000">
      <w:pPr>
        <w:numPr>
          <w:ilvl w:val="1"/>
          <w:numId w:val="1"/>
        </w:numPr>
        <w:ind w:right="0" w:hanging="361"/>
      </w:pPr>
      <w:r>
        <w:t xml:space="preserve">Лицензия профессионального участника рынка ценных бумаг на осуществление брокерской деятельности № 045-14107-100000 от 29.10.2021 29 октября 2021 г., без ограничения срока действия. </w:t>
      </w:r>
    </w:p>
    <w:p w14:paraId="6C2BE9D2" w14:textId="77777777" w:rsidR="00BE5533" w:rsidRDefault="00000000">
      <w:pPr>
        <w:numPr>
          <w:ilvl w:val="1"/>
          <w:numId w:val="1"/>
        </w:numPr>
        <w:ind w:right="0" w:hanging="361"/>
      </w:pPr>
      <w:r>
        <w:t xml:space="preserve">Лицензия профессионального участника рынка ценных бумаг на осуществление дилерской деятельности № 045-14108-010000 от 29.10.2021 г., без ограничения срока действия.  </w:t>
      </w:r>
    </w:p>
    <w:p w14:paraId="6BB60D14" w14:textId="77777777" w:rsidR="00BE5533" w:rsidRDefault="00000000">
      <w:pPr>
        <w:numPr>
          <w:ilvl w:val="1"/>
          <w:numId w:val="1"/>
        </w:numPr>
        <w:ind w:right="0" w:hanging="361"/>
      </w:pPr>
      <w:r>
        <w:t xml:space="preserve">Лицензия профессионального участника рынка ценных бумаг на осуществление депозитарной деятельности № 045-14136-000100 от 10.06.2022 г., без ограничения срока действия.  </w:t>
      </w:r>
    </w:p>
    <w:p w14:paraId="4220B8C5" w14:textId="77777777" w:rsidR="00BE5533" w:rsidRDefault="00000000">
      <w:pPr>
        <w:numPr>
          <w:ilvl w:val="0"/>
          <w:numId w:val="1"/>
        </w:numPr>
        <w:ind w:right="0" w:hanging="566"/>
      </w:pPr>
      <w:r>
        <w:t xml:space="preserve">Компания не осуществляет тестирование физических лиц, не заключивших Договор обслуживания на финансовых рынках с АО «ПБС».  </w:t>
      </w:r>
    </w:p>
    <w:p w14:paraId="7C5D24D2" w14:textId="77777777" w:rsidR="00BE5533" w:rsidRDefault="00000000">
      <w:pPr>
        <w:spacing w:after="66" w:line="259" w:lineRule="auto"/>
        <w:ind w:left="787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1C5A8287" w14:textId="77777777" w:rsidR="00BE5533" w:rsidRDefault="00000000">
      <w:pPr>
        <w:spacing w:after="122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p w14:paraId="574E40CB" w14:textId="77777777" w:rsidR="00BE5533" w:rsidRDefault="00000000">
      <w:pPr>
        <w:pStyle w:val="2"/>
        <w:ind w:left="-5"/>
      </w:pPr>
      <w:r>
        <w:t xml:space="preserve">2. Термины и определения </w:t>
      </w:r>
    </w:p>
    <w:p w14:paraId="70189E16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 xml:space="preserve">Базовый стандарт – </w:t>
      </w:r>
      <w:r>
        <w:rPr>
          <w:color w:val="404040"/>
        </w:rPr>
        <w:t xml:space="preserve">«Базовый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брокеров».  </w:t>
      </w:r>
    </w:p>
    <w:p w14:paraId="7B7592DF" w14:textId="77777777" w:rsidR="00BE5533" w:rsidRDefault="00000000">
      <w:pPr>
        <w:spacing w:after="169" w:line="259" w:lineRule="auto"/>
        <w:ind w:left="0" w:right="0" w:firstLine="0"/>
        <w:jc w:val="left"/>
      </w:pPr>
      <w:r>
        <w:rPr>
          <w:b/>
          <w:color w:val="404040"/>
        </w:rPr>
        <w:t xml:space="preserve">Компания – Акционерное общество «Прайм Брокерский Сервис»  </w:t>
      </w:r>
    </w:p>
    <w:p w14:paraId="68906FF8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 xml:space="preserve">Договор обслуживания на финансовых рынках </w:t>
      </w:r>
      <w:r>
        <w:rPr>
          <w:color w:val="404040"/>
        </w:rPr>
        <w:t xml:space="preserve">– договор, заключаемый между Потенциальным клиентом и АО «ПБС» посредством присоединения Потенциального клиента к Регламенту сервисов на финансовых рынках. </w:t>
      </w:r>
    </w:p>
    <w:p w14:paraId="082459C9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>Клиент</w:t>
      </w:r>
      <w:r>
        <w:rPr>
          <w:color w:val="404040"/>
        </w:rPr>
        <w:t xml:space="preserve"> – физическое лицо, заключившее с Брокером Договор путем присоединения к Регламенту сервисов на финансовых рынках (далее – Регламент). </w:t>
      </w:r>
    </w:p>
    <w:p w14:paraId="75951B94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 xml:space="preserve">Личный кабинет Клиента </w:t>
      </w:r>
      <w:r>
        <w:rPr>
          <w:color w:val="404040"/>
        </w:rPr>
        <w:t xml:space="preserve">- раздел сайта АО «ПБС» в сети Интернет, открываемый отдельно для каждого потенциального клиента или Клиента в связи с акцептом Соглашения об использовании программного обеспечения «Личный кабинет Клиента» АО «Прайм Брокерский Сервис» при прохождении процедуры регистрации в Личном кабинете Клиента.  </w:t>
      </w:r>
    </w:p>
    <w:p w14:paraId="744FF95E" w14:textId="77777777" w:rsidR="00BE5533" w:rsidRDefault="00000000">
      <w:pPr>
        <w:spacing w:after="91" w:line="304" w:lineRule="auto"/>
        <w:ind w:left="-5" w:right="0" w:hanging="10"/>
      </w:pPr>
      <w:r>
        <w:rPr>
          <w:color w:val="404040"/>
        </w:rPr>
        <w:lastRenderedPageBreak/>
        <w:t xml:space="preserve">В Личном кабинете Клиента Компания публикует «Отчеты о состоянии счетов и операциях по ним (при наличии технической возможности), адресованные Клиенту уведомления, а также иную информацию, передача которой предусмотрена условиями Регламента сервисов на финансовых рынках и(или) любым иным Договором (Соглашением), заключенным между Сторонами  </w:t>
      </w:r>
    </w:p>
    <w:p w14:paraId="3B1E8E0C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>Потенциальный клиент</w:t>
      </w:r>
      <w:r>
        <w:rPr>
          <w:color w:val="404040"/>
        </w:rPr>
        <w:t xml:space="preserve"> – физическое лицо, имеющее намерение заключить с Компанией Договор обслуживания на финансовых рынках. </w:t>
      </w:r>
    </w:p>
    <w:p w14:paraId="1E3C48CA" w14:textId="77777777" w:rsidR="00BE5533" w:rsidRDefault="00000000">
      <w:pPr>
        <w:spacing w:after="10" w:line="304" w:lineRule="auto"/>
        <w:ind w:left="-5" w:right="0" w:hanging="10"/>
      </w:pPr>
      <w:r>
        <w:rPr>
          <w:b/>
          <w:color w:val="404040"/>
        </w:rPr>
        <w:t>Регламент сервисов на финансовых рынках</w:t>
      </w:r>
      <w:r>
        <w:rPr>
          <w:color w:val="404040"/>
        </w:rPr>
        <w:t xml:space="preserve"> – действующий Регламент сервисов на финансовых рынках </w:t>
      </w:r>
    </w:p>
    <w:p w14:paraId="09C12C7A" w14:textId="77777777" w:rsidR="00BE5533" w:rsidRDefault="00000000">
      <w:pPr>
        <w:spacing w:after="92" w:line="304" w:lineRule="auto"/>
        <w:ind w:left="-5" w:right="0" w:hanging="10"/>
      </w:pPr>
      <w:r>
        <w:rPr>
          <w:color w:val="404040"/>
        </w:rPr>
        <w:t>Акционерного Общества «Прайм Брокерский Сервис», размещаемый в сети Интернет по адресу:</w:t>
      </w:r>
      <w:hyperlink r:id="rId8">
        <w:r w:rsidR="00BE5533">
          <w:rPr>
            <w:color w:val="404040"/>
          </w:rPr>
          <w:t xml:space="preserve"> </w:t>
        </w:r>
      </w:hyperlink>
      <w:hyperlink r:id="rId9">
        <w:r w:rsidR="00BE5533">
          <w:rPr>
            <w:color w:val="404040"/>
          </w:rPr>
          <w:t>https://www.pbsr.ru</w:t>
        </w:r>
      </w:hyperlink>
      <w:hyperlink r:id="rId10">
        <w:r w:rsidR="00BE5533">
          <w:rPr>
            <w:color w:val="404040"/>
          </w:rPr>
          <w:t xml:space="preserve"> </w:t>
        </w:r>
      </w:hyperlink>
      <w:r>
        <w:rPr>
          <w:color w:val="404040"/>
        </w:rPr>
        <w:t xml:space="preserve"> </w:t>
      </w:r>
    </w:p>
    <w:p w14:paraId="52D3F58C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>Соглашения об использовании программного обеспечения «Личный кабинет Клиента» АО «Прайм Брокерский Сервис»</w:t>
      </w:r>
      <w:r>
        <w:rPr>
          <w:color w:val="404040"/>
        </w:rPr>
        <w:t xml:space="preserve"> (далее -Соглашение об использовании Личного кабинета Клиента) – (далее -Соглашение об использовании Личного  кабинета Клиента АО «ПБС») , размещенное в сети Интернет по адресу</w:t>
      </w:r>
      <w:hyperlink r:id="rId11">
        <w:r w:rsidR="00BE5533">
          <w:rPr>
            <w:color w:val="404040"/>
          </w:rPr>
          <w:t>: https://www.pbsr.ru</w:t>
        </w:r>
      </w:hyperlink>
      <w:hyperlink r:id="rId12">
        <w:r w:rsidR="00BE5533">
          <w:rPr>
            <w:color w:val="404040"/>
          </w:rPr>
          <w:t xml:space="preserve"> </w:t>
        </w:r>
      </w:hyperlink>
    </w:p>
    <w:p w14:paraId="287FE2AA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>Тестирование</w:t>
      </w:r>
      <w:r>
        <w:rPr>
          <w:color w:val="404040"/>
        </w:rPr>
        <w:t xml:space="preserve"> – тестирование Клиента, не являющегося квалифицированным инвестором, в соответствии с пунктом 1.1. Порядка. </w:t>
      </w:r>
    </w:p>
    <w:p w14:paraId="4D274F53" w14:textId="77777777" w:rsidR="00BE5533" w:rsidRDefault="00000000">
      <w:pPr>
        <w:spacing w:after="123" w:line="304" w:lineRule="auto"/>
        <w:ind w:left="-5" w:right="0" w:hanging="10"/>
      </w:pPr>
      <w:r>
        <w:rPr>
          <w:b/>
          <w:color w:val="404040"/>
        </w:rPr>
        <w:t>Тестируемое лицо</w:t>
      </w:r>
      <w:r>
        <w:rPr>
          <w:color w:val="404040"/>
        </w:rPr>
        <w:t xml:space="preserve"> – Клиент, не являющийся квалифицированным инвестором, в отношении которого проводится (проведено) Тестирование. </w:t>
      </w:r>
    </w:p>
    <w:p w14:paraId="781B0C80" w14:textId="77777777" w:rsidR="00BE5533" w:rsidRDefault="00000000">
      <w:pPr>
        <w:spacing w:after="101" w:line="304" w:lineRule="auto"/>
        <w:ind w:left="-5" w:right="0" w:hanging="10"/>
      </w:pPr>
      <w:r>
        <w:rPr>
          <w:b/>
          <w:color w:val="404040"/>
        </w:rPr>
        <w:t>Иные термины</w:t>
      </w:r>
      <w:r>
        <w:rPr>
          <w:color w:val="404040"/>
        </w:rPr>
        <w:t xml:space="preserve"> – используемые в Регламенте Сервисов на финансовых рынках, </w:t>
      </w:r>
    </w:p>
    <w:p w14:paraId="40BB732D" w14:textId="77777777" w:rsidR="00BE5533" w:rsidRDefault="00000000">
      <w:pPr>
        <w:spacing w:after="14" w:line="259" w:lineRule="auto"/>
        <w:ind w:left="0" w:right="0" w:firstLine="0"/>
        <w:jc w:val="left"/>
      </w:pPr>
      <w:r>
        <w:rPr>
          <w:color w:val="404040"/>
        </w:rPr>
        <w:t xml:space="preserve"> </w:t>
      </w:r>
    </w:p>
    <w:p w14:paraId="723E55BE" w14:textId="77777777" w:rsidR="00BE5533" w:rsidRDefault="00000000">
      <w:pPr>
        <w:spacing w:after="11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</w:t>
      </w:r>
    </w:p>
    <w:p w14:paraId="5C6C5667" w14:textId="77777777" w:rsidR="00BE5533" w:rsidRDefault="00000000">
      <w:pPr>
        <w:pStyle w:val="2"/>
        <w:ind w:left="-5"/>
      </w:pPr>
      <w:r>
        <w:t xml:space="preserve">3. Порядок проведения тестирования Клиента </w:t>
      </w:r>
    </w:p>
    <w:p w14:paraId="433B9B57" w14:textId="77777777" w:rsidR="00BE5533" w:rsidRDefault="00000000">
      <w:pPr>
        <w:numPr>
          <w:ilvl w:val="0"/>
          <w:numId w:val="2"/>
        </w:numPr>
        <w:spacing w:after="73"/>
        <w:ind w:right="0" w:hanging="643"/>
      </w:pPr>
      <w:r>
        <w:t xml:space="preserve">Тестирование Клиента осуществляется Брокером в отношении каждого вида сделок и(или) договоров, требующих проведения тестирования, отдельно в отношении следующих видов сделок и(или), требующих проведения тестирования в соответствии с законодательством РФ: </w:t>
      </w:r>
    </w:p>
    <w:p w14:paraId="60C31DFD" w14:textId="77777777" w:rsidR="00BE5533" w:rsidRDefault="00000000">
      <w:pPr>
        <w:numPr>
          <w:ilvl w:val="1"/>
          <w:numId w:val="2"/>
        </w:numPr>
        <w:spacing w:line="259" w:lineRule="auto"/>
        <w:ind w:right="0" w:hanging="360"/>
      </w:pPr>
      <w:r>
        <w:t xml:space="preserve">необеспеченные сделки; </w:t>
      </w:r>
    </w:p>
    <w:p w14:paraId="38625465" w14:textId="77777777" w:rsidR="00BE5533" w:rsidRDefault="00000000">
      <w:pPr>
        <w:numPr>
          <w:ilvl w:val="1"/>
          <w:numId w:val="2"/>
        </w:numPr>
        <w:spacing w:after="80"/>
        <w:ind w:right="0" w:hanging="360"/>
      </w:pPr>
      <w:r>
        <w:t xml:space="preserve">договоры, являющиеся производными финансовыми инструментами и не предназначенные для квалифицированных инвесторов; </w:t>
      </w:r>
    </w:p>
    <w:p w14:paraId="2F4C663B" w14:textId="77777777" w:rsidR="00BE5533" w:rsidRDefault="00000000">
      <w:pPr>
        <w:numPr>
          <w:ilvl w:val="1"/>
          <w:numId w:val="2"/>
        </w:numPr>
        <w:spacing w:line="259" w:lineRule="auto"/>
        <w:ind w:right="0" w:hanging="360"/>
      </w:pPr>
      <w:r>
        <w:t xml:space="preserve">договоры РЕПО, требующие проведения тестирования; </w:t>
      </w:r>
    </w:p>
    <w:p w14:paraId="20FAC079" w14:textId="77777777" w:rsidR="00BE5533" w:rsidRDefault="00000000">
      <w:pPr>
        <w:numPr>
          <w:ilvl w:val="1"/>
          <w:numId w:val="2"/>
        </w:numPr>
        <w:spacing w:after="82"/>
        <w:ind w:right="0" w:hanging="360"/>
      </w:pPr>
      <w:r>
        <w:t xml:space="preserve">сделки по приобретению структурных облигаций, не предназначенных для квалифицированных инвесторов; </w:t>
      </w:r>
    </w:p>
    <w:p w14:paraId="4EB6B008" w14:textId="77777777" w:rsidR="00BE5533" w:rsidRDefault="00000000">
      <w:pPr>
        <w:numPr>
          <w:ilvl w:val="1"/>
          <w:numId w:val="2"/>
        </w:numPr>
        <w:spacing w:after="82"/>
        <w:ind w:right="0" w:hanging="360"/>
      </w:pPr>
      <w:r>
        <w:t xml:space="preserve">сделки по приобретению инвестиционных паев, закрытых паевых инвестиционных фондов, не предназначенных для квалифицированных инвесторов, требующих проведения тестирования; </w:t>
      </w:r>
    </w:p>
    <w:p w14:paraId="518C0716" w14:textId="77777777" w:rsidR="00BE5533" w:rsidRDefault="00000000">
      <w:pPr>
        <w:numPr>
          <w:ilvl w:val="1"/>
          <w:numId w:val="2"/>
        </w:numPr>
        <w:spacing w:after="84"/>
        <w:ind w:right="0" w:hanging="360"/>
      </w:pPr>
      <w:r>
        <w:t xml:space="preserve">сделки по приобретению облигаций российских эмитентов, соответствующих условиям, предусмотренным абзацами первым и вторым подпункта 2 пункта 2 статьи 3.1 Федерального закона N 39-ФЗ, но не соответствующих условиям абзаца третьего указанного подпункта;  </w:t>
      </w:r>
    </w:p>
    <w:p w14:paraId="03F8AB37" w14:textId="77777777" w:rsidR="00BE5533" w:rsidRDefault="00000000">
      <w:pPr>
        <w:numPr>
          <w:ilvl w:val="1"/>
          <w:numId w:val="2"/>
        </w:numPr>
        <w:spacing w:after="81"/>
        <w:ind w:right="0" w:hanging="360"/>
      </w:pPr>
      <w:r>
        <w:t xml:space="preserve">сделки по приобретению облигаций иностранных эмитентов, соответствующих условиям, предусмотренным абзацами первым и вторым подпункта 3 пункта 2 </w:t>
      </w:r>
    </w:p>
    <w:p w14:paraId="75CD16BF" w14:textId="77777777" w:rsidR="00BE5533" w:rsidRDefault="00000000">
      <w:pPr>
        <w:spacing w:after="81"/>
        <w:ind w:left="2910" w:right="0" w:hanging="360"/>
      </w:pPr>
      <w:r>
        <w:lastRenderedPageBreak/>
        <w:t xml:space="preserve">статьи 3.1 Федерального закона N 39-ФЗ, но не соответствующих условиям абзаца третьего указанного подпункта; </w:t>
      </w:r>
    </w:p>
    <w:p w14:paraId="57EE9F50" w14:textId="77777777" w:rsidR="00BE5533" w:rsidRDefault="00000000">
      <w:pPr>
        <w:numPr>
          <w:ilvl w:val="1"/>
          <w:numId w:val="2"/>
        </w:numPr>
        <w:spacing w:line="259" w:lineRule="auto"/>
        <w:ind w:right="0" w:hanging="360"/>
      </w:pPr>
      <w:r>
        <w:t xml:space="preserve">сделки по приобретению облигаций со структурным доходом; </w:t>
      </w:r>
    </w:p>
    <w:p w14:paraId="786298B3" w14:textId="77777777" w:rsidR="00BE5533" w:rsidRDefault="00000000">
      <w:pPr>
        <w:numPr>
          <w:ilvl w:val="1"/>
          <w:numId w:val="2"/>
        </w:numPr>
        <w:ind w:right="0" w:hanging="360"/>
      </w:pPr>
      <w:r>
        <w:t xml:space="preserve">сделки по приобретению акций российских эмитентов, которые допущены к обращению на организованных торгах, но не включены в котировальные списки биржи, а также сделки по приобретению акций российских эмитентов, не допущенных к обращению на организованных торгах;  </w:t>
      </w:r>
    </w:p>
    <w:p w14:paraId="798906A8" w14:textId="77777777" w:rsidR="00BE5533" w:rsidRDefault="00000000">
      <w:pPr>
        <w:numPr>
          <w:ilvl w:val="1"/>
          <w:numId w:val="2"/>
        </w:numPr>
        <w:spacing w:after="86"/>
        <w:ind w:right="0" w:hanging="360"/>
      </w:pPr>
      <w:r>
        <w:t xml:space="preserve">сделки по приобретению не включенных в котировальные списки биржи акций иностранных эмитентов или ценных бумаг другого иностранного эмитента, удостоверяющих права в отношении таких акций, при условии, что указанные акции не входят в расчет ни одного из индексов, перечень которых установлен Советом директоров Банка России;  </w:t>
      </w:r>
    </w:p>
    <w:p w14:paraId="18D15026" w14:textId="77777777" w:rsidR="00BE5533" w:rsidRDefault="00000000">
      <w:pPr>
        <w:numPr>
          <w:ilvl w:val="1"/>
          <w:numId w:val="2"/>
        </w:numPr>
        <w:spacing w:after="87"/>
        <w:ind w:right="0" w:hanging="360"/>
      </w:pPr>
      <w:r>
        <w:t xml:space="preserve">сделки по приобретению паев/акций ETF, не включенных в котировальные списки биржи и допущенных к организованным торгам при наличии договора организатора торговли с лицом, обязанным по ним, доходность по которым в соответствии с их проспектом (правилами) определяется индексом, не входящим в перечень, установленный Советом директоров Банка России, или иным показателем, а также при условии предоставления информации о налоговой ставке и порядке уплаты налогов в отношении доходов по таким ценным бумагам в соответствии с подпунктом 7 пункта 2 статьи 3.1 Федерального закона N 39-ФЗ.  </w:t>
      </w:r>
    </w:p>
    <w:p w14:paraId="30FC71AF" w14:textId="77777777" w:rsidR="00BE5533" w:rsidRDefault="00000000">
      <w:pPr>
        <w:numPr>
          <w:ilvl w:val="1"/>
          <w:numId w:val="2"/>
        </w:numPr>
        <w:spacing w:after="4"/>
        <w:ind w:right="0" w:hanging="360"/>
      </w:pPr>
      <w:r>
        <w:t xml:space="preserve">сделки по приобретению паев/акций ETF, не включенных в котировальные списки биржи и допущенных к организованным торгам при отсутствии договора организатора торговли с лицом, обязанным по ним, и при условии предоставления информации о налоговой ставке и порядке уплаты налогов в отношении доходов по таким ценным бумагам в соответствии с подпунктом 7 пункта 2 статьи 3.1 </w:t>
      </w:r>
    </w:p>
    <w:p w14:paraId="5FA22309" w14:textId="77777777" w:rsidR="00BE5533" w:rsidRDefault="00000000">
      <w:pPr>
        <w:spacing w:line="259" w:lineRule="auto"/>
        <w:ind w:left="2910" w:right="0" w:firstLine="0"/>
      </w:pPr>
      <w:r>
        <w:t xml:space="preserve">Федерального закона N 39-ФЗ;  </w:t>
      </w:r>
    </w:p>
    <w:p w14:paraId="6A26EFA7" w14:textId="77777777" w:rsidR="00BE5533" w:rsidRDefault="00000000">
      <w:pPr>
        <w:numPr>
          <w:ilvl w:val="1"/>
          <w:numId w:val="2"/>
        </w:numPr>
        <w:spacing w:after="77"/>
        <w:ind w:right="0" w:hanging="360"/>
      </w:pPr>
      <w:r>
        <w:t xml:space="preserve">сделки по приобретению облигаций российских или иностранных эмитентов, конвертируемых в иные ценные бумаги; </w:t>
      </w:r>
    </w:p>
    <w:p w14:paraId="72C4BC45" w14:textId="77777777" w:rsidR="00BE5533" w:rsidRDefault="00000000">
      <w:pPr>
        <w:numPr>
          <w:ilvl w:val="1"/>
          <w:numId w:val="2"/>
        </w:numPr>
        <w:spacing w:after="79"/>
        <w:ind w:right="0" w:hanging="360"/>
      </w:pPr>
      <w:r>
        <w:t xml:space="preserve">сделки по приобретению облигаций российских эмитентов, соответствующих условиям, предусмотренным абзацами первым и третьим подпункта 2 пункта 2 статьи 3.1 Федерального закона N 39-ФЗ, но не соответствующих условиям абзаца второго указанного подпункта;  </w:t>
      </w:r>
    </w:p>
    <w:p w14:paraId="0077A4C6" w14:textId="77777777" w:rsidR="00BE5533" w:rsidRDefault="00000000">
      <w:pPr>
        <w:numPr>
          <w:ilvl w:val="1"/>
          <w:numId w:val="2"/>
        </w:numPr>
        <w:spacing w:after="44"/>
        <w:ind w:right="0" w:hanging="360"/>
      </w:pPr>
      <w:r>
        <w:t xml:space="preserve">сделки по приобретению облигаций иностранных эмитентов, соответствующих условиям, предусмотренным абзацами первым и третьим подпункта 3 пункта 2 </w:t>
      </w:r>
    </w:p>
    <w:p w14:paraId="08F8DD3B" w14:textId="77777777" w:rsidR="00BE5533" w:rsidRDefault="00000000">
      <w:pPr>
        <w:spacing w:after="44"/>
        <w:ind w:left="2910" w:right="0" w:hanging="360"/>
      </w:pPr>
      <w:r>
        <w:t xml:space="preserve">статьи 3.1 Федерального закона N 39-ФЗ, но не соответствующих условиям абзаца второго указанного подпункта. </w:t>
      </w:r>
    </w:p>
    <w:p w14:paraId="4E4BD4BC" w14:textId="77777777" w:rsidR="00BE5533" w:rsidRDefault="00000000">
      <w:pPr>
        <w:spacing w:after="159" w:line="259" w:lineRule="auto"/>
        <w:ind w:left="1493" w:right="0" w:firstLine="0"/>
        <w:jc w:val="left"/>
      </w:pPr>
      <w:r>
        <w:t xml:space="preserve"> </w:t>
      </w:r>
    </w:p>
    <w:p w14:paraId="4E2D0D65" w14:textId="77777777" w:rsidR="00BE5533" w:rsidRDefault="00000000">
      <w:pPr>
        <w:numPr>
          <w:ilvl w:val="0"/>
          <w:numId w:val="2"/>
        </w:numPr>
        <w:ind w:right="0" w:hanging="643"/>
      </w:pPr>
      <w:r>
        <w:lastRenderedPageBreak/>
        <w:t xml:space="preserve">АО «ПБС» проводит Тестирование, а также оценивает результаты Тестирования до исполнения поручения Клиента, не признанного квалифицированным инвестором, на совершение и(или) заключение сделок и(или) договоров, требующих проведения Тестирования. </w:t>
      </w:r>
    </w:p>
    <w:p w14:paraId="24C27C4B" w14:textId="17E6AD89" w:rsidR="00D57B70" w:rsidRDefault="00000000">
      <w:pPr>
        <w:numPr>
          <w:ilvl w:val="0"/>
          <w:numId w:val="2"/>
        </w:numPr>
        <w:spacing w:after="163" w:line="259" w:lineRule="auto"/>
        <w:ind w:right="0" w:hanging="643"/>
      </w:pPr>
      <w:r>
        <w:t xml:space="preserve">Тестирование </w:t>
      </w:r>
      <w:r w:rsidR="00D57B70">
        <w:t xml:space="preserve">может </w:t>
      </w:r>
      <w:r>
        <w:t>проводится</w:t>
      </w:r>
      <w:r w:rsidR="00D57B70">
        <w:t xml:space="preserve"> одним из способов:</w:t>
      </w:r>
    </w:p>
    <w:p w14:paraId="0318B266" w14:textId="77777777" w:rsidR="00D57B70" w:rsidRDefault="00D57B70" w:rsidP="00D57B70">
      <w:pPr>
        <w:spacing w:after="163" w:line="259" w:lineRule="auto"/>
        <w:ind w:left="849" w:right="0" w:firstLine="0"/>
      </w:pPr>
      <w:r>
        <w:t>– непосредственно в офисе АО «ПБС»,</w:t>
      </w:r>
    </w:p>
    <w:p w14:paraId="3167BCCD" w14:textId="49FF1797" w:rsidR="00BE5533" w:rsidRDefault="00242654" w:rsidP="00242654">
      <w:pPr>
        <w:spacing w:after="163" w:line="259" w:lineRule="auto"/>
        <w:ind w:left="849" w:right="0" w:firstLine="0"/>
      </w:pPr>
      <w:r>
        <w:t>–</w:t>
      </w:r>
      <w:r>
        <w:t xml:space="preserve"> </w:t>
      </w:r>
      <w:r w:rsidR="00D57B70">
        <w:t xml:space="preserve">в Личном кабинете Клиента (при наличии технической возможности). </w:t>
      </w:r>
    </w:p>
    <w:p w14:paraId="276AFA76" w14:textId="2AC5D10D" w:rsidR="00D57B70" w:rsidRDefault="00D57B70">
      <w:pPr>
        <w:numPr>
          <w:ilvl w:val="0"/>
          <w:numId w:val="2"/>
        </w:numPr>
        <w:ind w:right="0" w:hanging="643"/>
      </w:pPr>
      <w:r>
        <w:t>В случае прохождения тестирования через Личный кабинет Клиента:</w:t>
      </w:r>
    </w:p>
    <w:p w14:paraId="73C2C788" w14:textId="726C2F06" w:rsidR="00BE5533" w:rsidRDefault="00D57B70" w:rsidP="00242654">
      <w:pPr>
        <w:ind w:left="849" w:right="0" w:firstLine="0"/>
      </w:pPr>
      <w:r>
        <w:t xml:space="preserve">4.1. Клиенту или Потенциальному клиенту, не признанному квалифицированным инвестором, необходимо авторизоваться в Личном кабинете Клиента в порядке, установленном Соглашение об использовании программного обеспечения «Личный кабинет» Акционерного общества «Прайм Брокерский Сервис» и дистанционном обслуживании клиентов. </w:t>
      </w:r>
    </w:p>
    <w:p w14:paraId="126D9C0D" w14:textId="7C721EBB" w:rsidR="00BE5533" w:rsidRDefault="00D57B70" w:rsidP="00242654">
      <w:pPr>
        <w:ind w:left="849" w:right="0" w:firstLine="0"/>
      </w:pPr>
      <w:r>
        <w:t xml:space="preserve">4.2. После авторизации в Личном кабинете Клиента на главной странице интерфейса Кабинета Клиента необходимо выбрать «Тестирование ФЛ не КИ» и нажать на соответствующую кнопку. </w:t>
      </w:r>
    </w:p>
    <w:p w14:paraId="12086B14" w14:textId="769F0FB8" w:rsidR="00BE5533" w:rsidRDefault="00D57B70" w:rsidP="00242654">
      <w:pPr>
        <w:ind w:left="849" w:right="0" w:firstLine="0"/>
      </w:pPr>
      <w:r>
        <w:t xml:space="preserve">4.3. После нажатия на кнопку «Тестирование ФЛ не КИ» Клиенту и(или) Потенциальному клиенту, авторизовавшемуся в Личном кабинете Клиента, будет представлен список сделок (договоров), в отношении которых может проводиться Тестирование и которые Тестируемое лицо планирует совершать и (или) заключать. </w:t>
      </w:r>
    </w:p>
    <w:p w14:paraId="68009543" w14:textId="672A5081" w:rsidR="00BE5533" w:rsidRDefault="00D57B70" w:rsidP="00242654">
      <w:pPr>
        <w:ind w:left="849" w:right="0" w:firstLine="0"/>
      </w:pPr>
      <w:r>
        <w:t xml:space="preserve">4.4. После осуществления выбора сделки (договора), которые Тестируемое лицо планирует совершать и(или) заключать, ему становится доступен перечень вопросов для Тестирования, состоящий из блока «Самооценка» и блока «Знания» и соответствующих виду сделок (договоров), требующих проведения Тестирования. В ходе Тестирования вопросы предлагаются блоками. </w:t>
      </w:r>
    </w:p>
    <w:p w14:paraId="796B119D" w14:textId="77777777" w:rsidR="00BE5533" w:rsidRDefault="00000000">
      <w:pPr>
        <w:numPr>
          <w:ilvl w:val="0"/>
          <w:numId w:val="2"/>
        </w:numPr>
        <w:ind w:right="0" w:hanging="643"/>
      </w:pPr>
      <w:r>
        <w:t xml:space="preserve">Перечень предлагаемых Тестируемому лицу вариантов ответов на вопросы блока «Знание», формируется Компанией методом случайного выбора для каждого Тестирования из вариантов ответов. При этом в указанные перечни по каждому вопросу включаются не менее четырех вариантов ответов, включая правильные ответы. Перечень правильных ответов является конфиденциальной информацией. </w:t>
      </w:r>
    </w:p>
    <w:p w14:paraId="1B8FB1EB" w14:textId="596BCEBA" w:rsidR="00BE5533" w:rsidRDefault="00000000">
      <w:pPr>
        <w:numPr>
          <w:ilvl w:val="0"/>
          <w:numId w:val="2"/>
        </w:numPr>
        <w:spacing w:after="87"/>
        <w:ind w:right="0" w:hanging="643"/>
      </w:pPr>
      <w:r>
        <w:t>При проведении Тестирования Брокер фиксирует, в отношении каких видов сделок и(или) договоров, требующих проведения тестирования, проводится Тестирование, вопросы и варианты ответов, предложенные Тестируемому лицу, ответы Тестируемого лица, а также время и дату проведения Тестирования.</w:t>
      </w:r>
      <w:r>
        <w:rPr>
          <w:sz w:val="22"/>
        </w:rPr>
        <w:t xml:space="preserve"> </w:t>
      </w:r>
    </w:p>
    <w:p w14:paraId="72A93DD7" w14:textId="77777777" w:rsidR="00BE5533" w:rsidRDefault="00000000">
      <w:pPr>
        <w:numPr>
          <w:ilvl w:val="0"/>
          <w:numId w:val="2"/>
        </w:numPr>
        <w:ind w:right="0" w:hanging="643"/>
      </w:pPr>
      <w:r>
        <w:t xml:space="preserve">На основании полученных ответов Брокер оценивает результат Тестирования отдельно в отношении каждого вида сделок и(или) договоров, в соответствии со следующей методикой: </w:t>
      </w:r>
    </w:p>
    <w:p w14:paraId="61B64728" w14:textId="77777777" w:rsidR="00BE5533" w:rsidRDefault="00000000">
      <w:pPr>
        <w:numPr>
          <w:ilvl w:val="0"/>
          <w:numId w:val="2"/>
        </w:numPr>
        <w:spacing w:after="164" w:line="259" w:lineRule="auto"/>
        <w:ind w:right="0" w:hanging="643"/>
      </w:pPr>
      <w:r>
        <w:t xml:space="preserve">Результаты ответов на вопросы блока «Самооценка» не оцениваются. </w:t>
      </w:r>
    </w:p>
    <w:p w14:paraId="28D4B2A8" w14:textId="77777777" w:rsidR="00BE5533" w:rsidRDefault="00000000">
      <w:pPr>
        <w:numPr>
          <w:ilvl w:val="0"/>
          <w:numId w:val="2"/>
        </w:numPr>
        <w:ind w:right="0" w:hanging="643"/>
      </w:pPr>
      <w:r>
        <w:t xml:space="preserve">Результат Тестирования оценивается как положительный в случае, если Тестируемое лицо правильно ответило на все вопросы блока «Знания». </w:t>
      </w:r>
    </w:p>
    <w:p w14:paraId="02D6AACE" w14:textId="77777777" w:rsidR="00BE5533" w:rsidRDefault="00000000">
      <w:pPr>
        <w:numPr>
          <w:ilvl w:val="0"/>
          <w:numId w:val="2"/>
        </w:numPr>
        <w:ind w:right="0" w:hanging="643"/>
      </w:pPr>
      <w:r>
        <w:t xml:space="preserve">Результат Тестирования оценивается как отрицательный в случае, если Тестируемое лицо неправильно ответило хотя бы на один вопрос блока «Знания». </w:t>
      </w:r>
    </w:p>
    <w:p w14:paraId="0063572A" w14:textId="77777777" w:rsidR="00BE5533" w:rsidRDefault="00000000">
      <w:pPr>
        <w:numPr>
          <w:ilvl w:val="0"/>
          <w:numId w:val="2"/>
        </w:numPr>
        <w:ind w:right="0" w:hanging="643"/>
      </w:pPr>
      <w:r>
        <w:lastRenderedPageBreak/>
        <w:t xml:space="preserve">Компания не позднее рабочего дня, следующего за днем проведения тестирования, направляет уведомление об оценке результатов тестирования по форме Приложения №1 к настоящему Порядку в Личном кабинете Клиента, а также на адрес электронной почты Тестируемого лица, указанный в Анкете Клиент при регистрации. В уведомлении фиксируется дата и время отправки уведомления. </w:t>
      </w:r>
    </w:p>
    <w:p w14:paraId="7E138DD2" w14:textId="77777777" w:rsidR="00BE5533" w:rsidRDefault="00000000">
      <w:pPr>
        <w:numPr>
          <w:ilvl w:val="0"/>
          <w:numId w:val="2"/>
        </w:numPr>
        <w:ind w:right="0" w:hanging="643"/>
      </w:pPr>
      <w:r>
        <w:t xml:space="preserve">При завершении тестирования по выбранному из указанных в п. 3.1 настоящего Порядка виду сделки и(или) договора, Тестируемое лицо вправе выбрать и пройти Тестирование по иному виду сделки (договора), которые Тестируемое лицо также планирует совершать и(или) заключать и которые также требуют прохождения тестирования в соответствии с законодательством РФ. </w:t>
      </w:r>
    </w:p>
    <w:p w14:paraId="4F349E87" w14:textId="77777777" w:rsidR="00BE5533" w:rsidRDefault="00000000">
      <w:pPr>
        <w:numPr>
          <w:ilvl w:val="0"/>
          <w:numId w:val="2"/>
        </w:numPr>
        <w:spacing w:after="0"/>
        <w:ind w:right="0" w:hanging="643"/>
      </w:pPr>
      <w:r>
        <w:t xml:space="preserve">В случае наличия нескольких Договоров с Клиентом, Брокер учитывает оценку результатов тестирования в целях исполнения поручений Клиента по всем заключенным с Клиентом Договорам,  </w:t>
      </w:r>
    </w:p>
    <w:p w14:paraId="30B28A9E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</w:t>
      </w:r>
    </w:p>
    <w:p w14:paraId="4C7CA69D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</w:t>
      </w:r>
    </w:p>
    <w:p w14:paraId="6510BF5B" w14:textId="77777777" w:rsidR="00BE5533" w:rsidRDefault="00000000">
      <w:pPr>
        <w:spacing w:after="106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</w:rPr>
        <w:t xml:space="preserve"> </w:t>
      </w:r>
    </w:p>
    <w:p w14:paraId="4E89FC98" w14:textId="77777777" w:rsidR="00BE5533" w:rsidRDefault="00000000">
      <w:pPr>
        <w:pStyle w:val="2"/>
        <w:ind w:left="-5"/>
      </w:pPr>
      <w:r>
        <w:t>4. Хранение</w:t>
      </w:r>
      <w:r>
        <w:rPr>
          <w:sz w:val="20"/>
        </w:rPr>
        <w:t xml:space="preserve"> </w:t>
      </w:r>
    </w:p>
    <w:p w14:paraId="1EAC3AB2" w14:textId="77777777" w:rsidR="00BE5533" w:rsidRDefault="00000000">
      <w:pPr>
        <w:numPr>
          <w:ilvl w:val="0"/>
          <w:numId w:val="3"/>
        </w:numPr>
        <w:spacing w:line="259" w:lineRule="auto"/>
        <w:ind w:right="0" w:hanging="566"/>
      </w:pPr>
      <w:r>
        <w:t xml:space="preserve">АО «ПБС» хранит информацию: </w:t>
      </w:r>
    </w:p>
    <w:p w14:paraId="50549295" w14:textId="77777777" w:rsidR="00BE5533" w:rsidRDefault="00000000">
      <w:pPr>
        <w:numPr>
          <w:ilvl w:val="1"/>
          <w:numId w:val="3"/>
        </w:numPr>
        <w:spacing w:after="134" w:line="259" w:lineRule="auto"/>
        <w:ind w:right="0" w:hanging="360"/>
      </w:pPr>
      <w:r>
        <w:t xml:space="preserve">о вопросах и вариантах ответов, предложенных Тестируемому лицу; </w:t>
      </w:r>
    </w:p>
    <w:p w14:paraId="578848C0" w14:textId="77777777" w:rsidR="00BE5533" w:rsidRDefault="00000000">
      <w:pPr>
        <w:numPr>
          <w:ilvl w:val="1"/>
          <w:numId w:val="3"/>
        </w:numPr>
        <w:spacing w:line="259" w:lineRule="auto"/>
        <w:ind w:right="0" w:hanging="360"/>
      </w:pPr>
      <w:r>
        <w:t xml:space="preserve">об ответах Тестируемого лица на предоставленные в ходе Тестирования вопросы; </w:t>
      </w:r>
    </w:p>
    <w:p w14:paraId="225BD9CC" w14:textId="77777777" w:rsidR="00BE5533" w:rsidRDefault="00000000">
      <w:pPr>
        <w:numPr>
          <w:ilvl w:val="1"/>
          <w:numId w:val="3"/>
        </w:numPr>
        <w:spacing w:line="259" w:lineRule="auto"/>
        <w:ind w:right="0" w:hanging="360"/>
      </w:pPr>
      <w:r>
        <w:t xml:space="preserve">о дате и времени проведения Тестирования; </w:t>
      </w:r>
    </w:p>
    <w:p w14:paraId="38BF3E1A" w14:textId="77777777" w:rsidR="00BE5533" w:rsidRDefault="00000000">
      <w:pPr>
        <w:numPr>
          <w:ilvl w:val="1"/>
          <w:numId w:val="3"/>
        </w:numPr>
        <w:spacing w:line="259" w:lineRule="auto"/>
        <w:ind w:right="0" w:hanging="360"/>
      </w:pPr>
      <w:r>
        <w:t xml:space="preserve">об оценке результатов Тестирования; </w:t>
      </w:r>
    </w:p>
    <w:p w14:paraId="1BBE40DE" w14:textId="77777777" w:rsidR="00BE5533" w:rsidRDefault="00000000">
      <w:pPr>
        <w:numPr>
          <w:ilvl w:val="1"/>
          <w:numId w:val="3"/>
        </w:numPr>
        <w:spacing w:line="259" w:lineRule="auto"/>
        <w:ind w:right="0" w:hanging="360"/>
      </w:pPr>
      <w:r>
        <w:t xml:space="preserve">о </w:t>
      </w:r>
      <w:r>
        <w:tab/>
        <w:t xml:space="preserve">направлении </w:t>
      </w:r>
      <w:r>
        <w:tab/>
        <w:t xml:space="preserve">Тестируемому </w:t>
      </w:r>
      <w:r>
        <w:tab/>
        <w:t xml:space="preserve">лицу </w:t>
      </w:r>
      <w:r>
        <w:tab/>
        <w:t xml:space="preserve">уведомления </w:t>
      </w:r>
      <w:r>
        <w:tab/>
        <w:t xml:space="preserve">об </w:t>
      </w:r>
      <w:r>
        <w:tab/>
        <w:t xml:space="preserve">оценке </w:t>
      </w:r>
      <w:r>
        <w:tab/>
        <w:t xml:space="preserve">результатов </w:t>
      </w:r>
    </w:p>
    <w:p w14:paraId="6CCB3AD2" w14:textId="77777777" w:rsidR="00BE5533" w:rsidRDefault="00000000">
      <w:pPr>
        <w:spacing w:after="154" w:line="259" w:lineRule="auto"/>
        <w:ind w:left="0" w:right="658" w:firstLine="0"/>
        <w:jc w:val="center"/>
      </w:pPr>
      <w:r>
        <w:t xml:space="preserve">тестирования в виде электронного документа. </w:t>
      </w:r>
    </w:p>
    <w:p w14:paraId="4B9C70A4" w14:textId="00948EC1" w:rsidR="00BE5533" w:rsidRDefault="00000000">
      <w:pPr>
        <w:numPr>
          <w:ilvl w:val="0"/>
          <w:numId w:val="3"/>
        </w:numPr>
        <w:spacing w:after="134" w:line="259" w:lineRule="auto"/>
        <w:ind w:right="0" w:hanging="566"/>
      </w:pPr>
      <w:r>
        <w:t xml:space="preserve">Срок хранения информации, указанной в п.1 </w:t>
      </w:r>
      <w:r w:rsidR="00BE2CD4">
        <w:t xml:space="preserve">статьи 4 настоящего Порядка </w:t>
      </w:r>
      <w:r>
        <w:t xml:space="preserve">составляет: </w:t>
      </w:r>
    </w:p>
    <w:p w14:paraId="4B9A2236" w14:textId="77777777" w:rsidR="00BE5533" w:rsidRDefault="00000000">
      <w:pPr>
        <w:numPr>
          <w:ilvl w:val="1"/>
          <w:numId w:val="3"/>
        </w:numPr>
        <w:spacing w:after="78"/>
        <w:ind w:right="0" w:hanging="360"/>
      </w:pPr>
      <w:r>
        <w:t xml:space="preserve">не менее 3 (трех) лет с даты прекращения Договора обслуживания на финансовых рынках с Клиентом, </w:t>
      </w:r>
    </w:p>
    <w:p w14:paraId="731F5B43" w14:textId="77777777" w:rsidR="00BE5533" w:rsidRDefault="00000000">
      <w:pPr>
        <w:numPr>
          <w:ilvl w:val="1"/>
          <w:numId w:val="3"/>
        </w:numPr>
        <w:spacing w:after="83"/>
        <w:ind w:right="0" w:hanging="360"/>
      </w:pPr>
      <w:r>
        <w:t xml:space="preserve">в случае проведения тестирования физического лица до заключения с ним договора о брокерском обслуживании – не менее 6 (шести) месяцев с даты проведения тестирования, если Договор обслуживания на финансовых рынках не был заключен с данным физическим лицом в течение указанных 6 (шести) месяцев, </w:t>
      </w:r>
    </w:p>
    <w:p w14:paraId="14FD1DE4" w14:textId="77777777" w:rsidR="00BE5533" w:rsidRDefault="00000000">
      <w:pPr>
        <w:numPr>
          <w:ilvl w:val="1"/>
          <w:numId w:val="3"/>
        </w:numPr>
        <w:ind w:right="0" w:hanging="360"/>
      </w:pPr>
      <w:r>
        <w:t xml:space="preserve">либо в случае заключения договора с данным физическим лицом в течение 6 (шести) месяцев после проведения Тестирования - не менее 3 (трех) лет с даты прекращения Договора обслуживания на финансовых рынках, с которым был заключен Договор. </w:t>
      </w:r>
    </w:p>
    <w:p w14:paraId="4D7073BE" w14:textId="77777777" w:rsidR="00BE5533" w:rsidRDefault="00000000">
      <w:pPr>
        <w:numPr>
          <w:ilvl w:val="0"/>
          <w:numId w:val="3"/>
        </w:numPr>
        <w:spacing w:after="57"/>
        <w:ind w:right="0" w:hanging="566"/>
      </w:pPr>
      <w:r>
        <w:t xml:space="preserve">При проведении Тестирования Потенциального клиента до заключения с ним Договора, полученный положительный результат Тестирования по усмотрению Брокера может учитываться при исполнении поручений Тестируемого лица. </w:t>
      </w:r>
    </w:p>
    <w:p w14:paraId="6E15178A" w14:textId="77777777" w:rsidR="00BE5533" w:rsidRDefault="00000000">
      <w:pPr>
        <w:spacing w:after="130" w:line="259" w:lineRule="auto"/>
        <w:ind w:left="0" w:right="0" w:firstLine="0"/>
        <w:jc w:val="left"/>
      </w:pPr>
      <w:r>
        <w:rPr>
          <w:b/>
          <w:color w:val="000000"/>
          <w:sz w:val="22"/>
        </w:rPr>
        <w:t xml:space="preserve"> </w:t>
      </w:r>
    </w:p>
    <w:p w14:paraId="3A34E8F7" w14:textId="77777777" w:rsidR="00BE5533" w:rsidRDefault="00000000">
      <w:pPr>
        <w:pStyle w:val="2"/>
        <w:ind w:left="-5"/>
      </w:pPr>
      <w:r>
        <w:lastRenderedPageBreak/>
        <w:t xml:space="preserve">5. Заключительные положения </w:t>
      </w:r>
    </w:p>
    <w:p w14:paraId="1ADA31DC" w14:textId="77777777" w:rsidR="00BE5533" w:rsidRDefault="00000000">
      <w:pPr>
        <w:spacing w:after="123" w:line="304" w:lineRule="auto"/>
        <w:ind w:left="-5" w:right="0" w:hanging="10"/>
      </w:pPr>
      <w:r>
        <w:rPr>
          <w:color w:val="404040"/>
        </w:rPr>
        <w:t>АО «ПБС» раскрывает настоящий Порядок на своей странице в сети «Интернет»:</w:t>
      </w:r>
      <w:hyperlink r:id="rId13">
        <w:r w:rsidR="00BE5533">
          <w:rPr>
            <w:color w:val="404040"/>
            <w:u w:val="single" w:color="4040FF"/>
          </w:rPr>
          <w:t xml:space="preserve"> </w:t>
        </w:r>
      </w:hyperlink>
      <w:hyperlink r:id="rId14">
        <w:r w:rsidR="00BE5533">
          <w:rPr>
            <w:rFonts w:ascii="Calibri" w:eastAsia="Calibri" w:hAnsi="Calibri" w:cs="Calibri"/>
            <w:color w:val="4040FF"/>
            <w:u w:val="single" w:color="4040FF"/>
          </w:rPr>
          <w:t>https://www.pbsr.ru</w:t>
        </w:r>
      </w:hyperlink>
      <w:hyperlink r:id="rId15">
        <w:r w:rsidR="00BE5533">
          <w:rPr>
            <w:color w:val="404040"/>
          </w:rPr>
          <w:t xml:space="preserve"> </w:t>
        </w:r>
      </w:hyperlink>
      <w:hyperlink r:id="rId16">
        <w:r w:rsidR="00BE5533">
          <w:rPr>
            <w:rFonts w:ascii="Microsoft Sans Serif" w:eastAsia="Microsoft Sans Serif" w:hAnsi="Microsoft Sans Serif" w:cs="Microsoft Sans Serif"/>
            <w:color w:val="404040"/>
          </w:rPr>
          <w:t xml:space="preserve"> </w:t>
        </w:r>
      </w:hyperlink>
    </w:p>
    <w:p w14:paraId="3FB78E80" w14:textId="77777777" w:rsidR="00BE5533" w:rsidRDefault="00000000">
      <w:pPr>
        <w:numPr>
          <w:ilvl w:val="0"/>
          <w:numId w:val="4"/>
        </w:numPr>
        <w:ind w:right="0" w:hanging="566"/>
      </w:pPr>
      <w:r>
        <w:t xml:space="preserve">Брокер вправе по своему усмотрению, без объяснения причин не применять положения ч.8 ст. 5 Федерального закона № 306-ФЗ в отношении отдельных видов сделок и (или) финансовых инструментов и не учитывать опыт и(или) наличия факта совершения (заключения) за счет и по поручению Клиента – физического лица НКИ до «01» октября 2021 года хотя бы одной сделки и (или) хотя бы одного договора, перечисленных в п. 1 ст. 3.1 Федерального закона № 39-ФЗ "О рынке ценных бумаг. </w:t>
      </w:r>
    </w:p>
    <w:p w14:paraId="7FE2AC92" w14:textId="77777777" w:rsidR="00BE5533" w:rsidRDefault="00000000">
      <w:pPr>
        <w:numPr>
          <w:ilvl w:val="0"/>
          <w:numId w:val="4"/>
        </w:numPr>
        <w:ind w:right="0" w:hanging="566"/>
      </w:pPr>
      <w:r>
        <w:t xml:space="preserve">Брокер не принимает от иных профессиональных участников рынка ценных бумаг результаты тестирования для целей определения соблюдения Клиентом вышеназванного положения. </w:t>
      </w:r>
    </w:p>
    <w:p w14:paraId="360368B5" w14:textId="77777777" w:rsidR="00BE5533" w:rsidRDefault="00000000">
      <w:pPr>
        <w:numPr>
          <w:ilvl w:val="0"/>
          <w:numId w:val="4"/>
        </w:numPr>
        <w:ind w:right="0" w:hanging="566"/>
      </w:pPr>
      <w:r>
        <w:t xml:space="preserve">Порядок, а также изменения в него вступают в силу на следующий рабочий день с даты размещения их текста на сайте Брокера, если более длительный срок не оговорен. </w:t>
      </w:r>
    </w:p>
    <w:p w14:paraId="3BD4B169" w14:textId="77777777" w:rsidR="00BE5533" w:rsidRDefault="00000000">
      <w:pPr>
        <w:numPr>
          <w:ilvl w:val="0"/>
          <w:numId w:val="4"/>
        </w:numPr>
        <w:ind w:right="0" w:hanging="566"/>
      </w:pPr>
      <w:r>
        <w:t xml:space="preserve">В случае противоречия положений настоящего Порядка с действующим законодательством РФ, преимущественную силу имеют положения действующего законодательства РФ. </w:t>
      </w:r>
    </w:p>
    <w:p w14:paraId="69A6D1D3" w14:textId="77777777" w:rsidR="00BE5533" w:rsidRDefault="00000000">
      <w:pPr>
        <w:pStyle w:val="1"/>
        <w:ind w:left="-5" w:right="0"/>
      </w:pPr>
      <w:r>
        <w:t xml:space="preserve">Приложение №1 к Порядку тестирования клиентов – физических лиц, не являющихся неквалифицированными инвесторами  </w:t>
      </w:r>
    </w:p>
    <w:p w14:paraId="3FCC6CD6" w14:textId="77777777" w:rsidR="00BE5533" w:rsidRDefault="0000000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22"/>
        </w:rPr>
        <w:t xml:space="preserve"> </w:t>
      </w:r>
    </w:p>
    <w:p w14:paraId="207817C6" w14:textId="77777777" w:rsidR="00BE5533" w:rsidRDefault="00000000">
      <w:pPr>
        <w:spacing w:after="131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z w:val="18"/>
        </w:rPr>
        <w:t xml:space="preserve"> </w:t>
      </w:r>
    </w:p>
    <w:p w14:paraId="3A34CC17" w14:textId="77777777" w:rsidR="00BE5533" w:rsidRDefault="00000000">
      <w:pPr>
        <w:pStyle w:val="2"/>
        <w:ind w:left="-5"/>
      </w:pPr>
      <w:r>
        <w:t xml:space="preserve">Уведомление о результатах тестирования </w:t>
      </w:r>
    </w:p>
    <w:p w14:paraId="16865AEF" w14:textId="77777777" w:rsidR="00BE5533" w:rsidRDefault="00000000">
      <w:pPr>
        <w:spacing w:after="85" w:line="304" w:lineRule="auto"/>
        <w:ind w:left="-5" w:right="0" w:hanging="10"/>
      </w:pPr>
      <w:r>
        <w:rPr>
          <w:color w:val="404040"/>
        </w:rPr>
        <w:t xml:space="preserve">Настоящим Акционерное общество «Прайм Брокерский Сервис» уведомляет о положительной / отрицательной оценке результата Вашего тестирования, проведенного в отношении_______________________________________ </w:t>
      </w:r>
    </w:p>
    <w:p w14:paraId="3B5B4EBA" w14:textId="77777777" w:rsidR="00BE5533" w:rsidRDefault="00000000">
      <w:pPr>
        <w:spacing w:after="106" w:line="259" w:lineRule="auto"/>
        <w:ind w:left="0" w:right="13" w:firstLine="0"/>
        <w:jc w:val="center"/>
      </w:pPr>
      <w:r>
        <w:rPr>
          <w:color w:val="7F7F7F"/>
          <w:sz w:val="16"/>
        </w:rPr>
        <w:t>(указываются виды финансовых инструментов, сделок и (или) договоров, в отношении которых проводилось тестирование)</w:t>
      </w:r>
      <w:r>
        <w:rPr>
          <w:color w:val="000000"/>
          <w:sz w:val="16"/>
        </w:rPr>
        <w:t xml:space="preserve"> </w:t>
      </w:r>
    </w:p>
    <w:p w14:paraId="38E80F7C" w14:textId="77777777" w:rsidR="00BE5533" w:rsidRDefault="00000000">
      <w:pPr>
        <w:spacing w:after="104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39A6E0B0" w14:textId="77777777" w:rsidR="00BE5533" w:rsidRDefault="00000000">
      <w:pPr>
        <w:spacing w:after="147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52069535" w14:textId="77777777" w:rsidR="00BE5533" w:rsidRDefault="00000000">
      <w:pPr>
        <w:spacing w:after="134" w:line="259" w:lineRule="auto"/>
        <w:ind w:left="0" w:right="0" w:firstLine="0"/>
        <w:jc w:val="left"/>
      </w:pPr>
      <w:r>
        <w:rPr>
          <w:color w:val="404040"/>
        </w:rPr>
        <w:t xml:space="preserve"> </w:t>
      </w:r>
    </w:p>
    <w:p w14:paraId="6196E0DA" w14:textId="77777777" w:rsidR="00BE5533" w:rsidRDefault="00000000">
      <w:pPr>
        <w:spacing w:after="134" w:line="259" w:lineRule="auto"/>
        <w:ind w:left="0" w:right="0" w:firstLine="0"/>
        <w:jc w:val="left"/>
      </w:pPr>
      <w:r>
        <w:rPr>
          <w:color w:val="404040"/>
        </w:rPr>
        <w:t xml:space="preserve"> </w:t>
      </w:r>
    </w:p>
    <w:p w14:paraId="743CF9C9" w14:textId="77777777" w:rsidR="00BE5533" w:rsidRDefault="00000000">
      <w:pPr>
        <w:spacing w:after="168" w:line="259" w:lineRule="auto"/>
        <w:ind w:left="0" w:right="0" w:firstLine="0"/>
        <w:jc w:val="left"/>
      </w:pPr>
      <w:r>
        <w:rPr>
          <w:color w:val="404040"/>
        </w:rPr>
        <w:t xml:space="preserve"> </w:t>
      </w:r>
    </w:p>
    <w:p w14:paraId="6247981E" w14:textId="77777777" w:rsidR="00BE5533" w:rsidRDefault="00000000">
      <w:pPr>
        <w:spacing w:after="123" w:line="304" w:lineRule="auto"/>
        <w:ind w:left="-5" w:right="0" w:hanging="10"/>
      </w:pPr>
      <w:r>
        <w:rPr>
          <w:color w:val="404040"/>
        </w:rPr>
        <w:t xml:space="preserve">С уважением, </w:t>
      </w:r>
    </w:p>
    <w:p w14:paraId="6FA399BA" w14:textId="77777777" w:rsidR="00BE5533" w:rsidRDefault="00000000">
      <w:pPr>
        <w:spacing w:after="90" w:line="259" w:lineRule="auto"/>
        <w:ind w:left="0" w:right="0" w:firstLine="0"/>
        <w:jc w:val="left"/>
      </w:pPr>
      <w:r>
        <w:rPr>
          <w:color w:val="0D0D0D"/>
        </w:rPr>
        <w:t xml:space="preserve">АО «Прайм Брокерский Сервис» </w:t>
      </w:r>
    </w:p>
    <w:p w14:paraId="724D64CF" w14:textId="77777777" w:rsidR="00BE5533" w:rsidRDefault="00000000">
      <w:pPr>
        <w:spacing w:after="109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1E215D4D" w14:textId="77777777" w:rsidR="00BE5533" w:rsidRDefault="00000000">
      <w:pPr>
        <w:spacing w:after="104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01050F72" w14:textId="77777777" w:rsidR="00BE5533" w:rsidRDefault="00000000">
      <w:pPr>
        <w:spacing w:after="109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14:paraId="3A2E2BEE" w14:textId="77777777" w:rsidR="00BE5533" w:rsidRDefault="00000000">
      <w:pPr>
        <w:spacing w:after="0" w:line="259" w:lineRule="auto"/>
        <w:ind w:left="1402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sectPr w:rsidR="00BE55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420" w:right="709" w:bottom="1369" w:left="720" w:header="720" w:footer="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7E7A" w14:textId="77777777" w:rsidR="00F23CFF" w:rsidRDefault="00F23CFF">
      <w:pPr>
        <w:spacing w:after="0" w:line="240" w:lineRule="auto"/>
      </w:pPr>
      <w:r>
        <w:separator/>
      </w:r>
    </w:p>
  </w:endnote>
  <w:endnote w:type="continuationSeparator" w:id="0">
    <w:p w14:paraId="3D18F4FF" w14:textId="77777777" w:rsidR="00F23CFF" w:rsidRDefault="00F2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6B71" w14:textId="77777777" w:rsidR="00BE5533" w:rsidRDefault="00000000">
    <w:pPr>
      <w:spacing w:after="0" w:line="236" w:lineRule="auto"/>
      <w:ind w:left="0" w:right="0" w:firstLine="1070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0E45993" wp14:editId="334D375E">
          <wp:simplePos x="0" y="0"/>
          <wp:positionH relativeFrom="page">
            <wp:posOffset>0</wp:posOffset>
          </wp:positionH>
          <wp:positionV relativeFrom="page">
            <wp:posOffset>9910445</wp:posOffset>
          </wp:positionV>
          <wp:extent cx="7772400" cy="149352"/>
          <wp:effectExtent l="0" t="0" r="0" b="0"/>
          <wp:wrapSquare wrapText="bothSides"/>
          <wp:docPr id="8575" name="Picture 8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5" name="Picture 85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8"/>
      </w:rPr>
      <w:t>1</w:t>
    </w:r>
    <w:r>
      <w:rPr>
        <w:color w:val="7F7F7F"/>
        <w:sz w:val="18"/>
      </w:rPr>
      <w:fldChar w:fldCharType="end"/>
    </w:r>
    <w:r>
      <w:rPr>
        <w:color w:val="7F7F7F"/>
        <w:sz w:val="18"/>
      </w:rPr>
      <w:t xml:space="preserve"> </w:t>
    </w:r>
    <w:r>
      <w:rPr>
        <w:color w:val="00000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28241" w14:textId="77777777" w:rsidR="00BE5533" w:rsidRDefault="00000000">
    <w:pPr>
      <w:spacing w:after="0" w:line="236" w:lineRule="auto"/>
      <w:ind w:left="0" w:right="0" w:firstLine="10703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451D842" wp14:editId="42E21DEA">
          <wp:simplePos x="0" y="0"/>
          <wp:positionH relativeFrom="page">
            <wp:posOffset>0</wp:posOffset>
          </wp:positionH>
          <wp:positionV relativeFrom="page">
            <wp:posOffset>9910445</wp:posOffset>
          </wp:positionV>
          <wp:extent cx="7772400" cy="149352"/>
          <wp:effectExtent l="0" t="0" r="0" b="0"/>
          <wp:wrapSquare wrapText="bothSides"/>
          <wp:docPr id="489268589" name="Picture 8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5" name="Picture 85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8"/>
      </w:rPr>
      <w:t>1</w:t>
    </w:r>
    <w:r>
      <w:rPr>
        <w:color w:val="7F7F7F"/>
        <w:sz w:val="18"/>
      </w:rPr>
      <w:fldChar w:fldCharType="end"/>
    </w:r>
    <w:r>
      <w:rPr>
        <w:color w:val="7F7F7F"/>
        <w:sz w:val="18"/>
      </w:rPr>
      <w:t xml:space="preserve"> </w:t>
    </w:r>
    <w:r>
      <w:rPr>
        <w:color w:val="00000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1823" w14:textId="77777777" w:rsidR="00BE5533" w:rsidRDefault="00000000">
    <w:pPr>
      <w:spacing w:after="0" w:line="236" w:lineRule="auto"/>
      <w:ind w:left="0" w:right="0" w:firstLine="10703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7A26DD9" wp14:editId="2D5D27DA">
          <wp:simplePos x="0" y="0"/>
          <wp:positionH relativeFrom="page">
            <wp:posOffset>0</wp:posOffset>
          </wp:positionH>
          <wp:positionV relativeFrom="page">
            <wp:posOffset>9910445</wp:posOffset>
          </wp:positionV>
          <wp:extent cx="7772400" cy="149352"/>
          <wp:effectExtent l="0" t="0" r="0" b="0"/>
          <wp:wrapSquare wrapText="bothSides"/>
          <wp:docPr id="899773699" name="Picture 85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5" name="Picture 85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9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F7F7F"/>
        <w:sz w:val="18"/>
      </w:rPr>
      <w:t>1</w:t>
    </w:r>
    <w:r>
      <w:rPr>
        <w:color w:val="7F7F7F"/>
        <w:sz w:val="18"/>
      </w:rPr>
      <w:fldChar w:fldCharType="end"/>
    </w:r>
    <w:r>
      <w:rPr>
        <w:color w:val="7F7F7F"/>
        <w:sz w:val="18"/>
      </w:rPr>
      <w:t xml:space="preserve"> </w:t>
    </w:r>
    <w:r>
      <w:rPr>
        <w:color w:val="0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C801" w14:textId="77777777" w:rsidR="00F23CFF" w:rsidRDefault="00F23CFF">
      <w:pPr>
        <w:spacing w:after="0" w:line="240" w:lineRule="auto"/>
      </w:pPr>
      <w:r>
        <w:separator/>
      </w:r>
    </w:p>
  </w:footnote>
  <w:footnote w:type="continuationSeparator" w:id="0">
    <w:p w14:paraId="43AA2718" w14:textId="77777777" w:rsidR="00F23CFF" w:rsidRDefault="00F2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2EE0" w14:textId="77777777" w:rsidR="00BE5533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084097" wp14:editId="3BA2B7EC">
          <wp:simplePos x="0" y="0"/>
          <wp:positionH relativeFrom="page">
            <wp:posOffset>459740</wp:posOffset>
          </wp:positionH>
          <wp:positionV relativeFrom="page">
            <wp:posOffset>356235</wp:posOffset>
          </wp:positionV>
          <wp:extent cx="6859906" cy="748030"/>
          <wp:effectExtent l="0" t="0" r="0" b="0"/>
          <wp:wrapSquare wrapText="bothSides"/>
          <wp:docPr id="91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9906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Sans Serif" w:eastAsia="Microsoft Sans Serif" w:hAnsi="Microsoft Sans Serif" w:cs="Microsoft Sans Serif"/>
        <w:color w:val="000000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AA24" w14:textId="77777777" w:rsidR="00BE5533" w:rsidRDefault="000000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C76B51E" wp14:editId="210F3EAE">
          <wp:simplePos x="0" y="0"/>
          <wp:positionH relativeFrom="page">
            <wp:posOffset>459740</wp:posOffset>
          </wp:positionH>
          <wp:positionV relativeFrom="page">
            <wp:posOffset>356235</wp:posOffset>
          </wp:positionV>
          <wp:extent cx="6859906" cy="748030"/>
          <wp:effectExtent l="0" t="0" r="0" b="0"/>
          <wp:wrapSquare wrapText="bothSides"/>
          <wp:docPr id="606923702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9906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Sans Serif" w:eastAsia="Microsoft Sans Serif" w:hAnsi="Microsoft Sans Serif" w:cs="Microsoft Sans Serif"/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DD73" w14:textId="77777777" w:rsidR="00BE5533" w:rsidRDefault="00BE553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496"/>
    <w:multiLevelType w:val="hybridMultilevel"/>
    <w:tmpl w:val="FA46FEAE"/>
    <w:lvl w:ilvl="0" w:tplc="0D189CDC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82800">
      <w:start w:val="1"/>
      <w:numFmt w:val="lowerLetter"/>
      <w:lvlText w:val="%2)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544460">
      <w:start w:val="1"/>
      <w:numFmt w:val="lowerRoman"/>
      <w:lvlText w:val="%3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D4DA22">
      <w:start w:val="1"/>
      <w:numFmt w:val="decimal"/>
      <w:lvlText w:val="%4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818DE">
      <w:start w:val="1"/>
      <w:numFmt w:val="lowerLetter"/>
      <w:lvlText w:val="%5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63B78">
      <w:start w:val="1"/>
      <w:numFmt w:val="lowerRoman"/>
      <w:lvlText w:val="%6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28D4C">
      <w:start w:val="1"/>
      <w:numFmt w:val="decimal"/>
      <w:lvlText w:val="%7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B2AA26">
      <w:start w:val="1"/>
      <w:numFmt w:val="lowerLetter"/>
      <w:lvlText w:val="%8"/>
      <w:lvlJc w:val="left"/>
      <w:pPr>
        <w:ind w:left="723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4CE96">
      <w:start w:val="1"/>
      <w:numFmt w:val="lowerRoman"/>
      <w:lvlText w:val="%9"/>
      <w:lvlJc w:val="left"/>
      <w:pPr>
        <w:ind w:left="795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D100C"/>
    <w:multiLevelType w:val="hybridMultilevel"/>
    <w:tmpl w:val="A2FE87E8"/>
    <w:lvl w:ilvl="0" w:tplc="4F306C0E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E4F48">
      <w:start w:val="1"/>
      <w:numFmt w:val="lowerLetter"/>
      <w:lvlText w:val="%2)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2C0FC">
      <w:start w:val="1"/>
      <w:numFmt w:val="lowerRoman"/>
      <w:lvlText w:val="%3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0CF81A">
      <w:start w:val="1"/>
      <w:numFmt w:val="decimal"/>
      <w:lvlText w:val="%4"/>
      <w:lvlJc w:val="left"/>
      <w:pPr>
        <w:ind w:left="426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0526E">
      <w:start w:val="1"/>
      <w:numFmt w:val="lowerLetter"/>
      <w:lvlText w:val="%5"/>
      <w:lvlJc w:val="left"/>
      <w:pPr>
        <w:ind w:left="498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A1C92">
      <w:start w:val="1"/>
      <w:numFmt w:val="lowerRoman"/>
      <w:lvlText w:val="%6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3E12A0">
      <w:start w:val="1"/>
      <w:numFmt w:val="decimal"/>
      <w:lvlText w:val="%7"/>
      <w:lvlJc w:val="left"/>
      <w:pPr>
        <w:ind w:left="642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C4E48A">
      <w:start w:val="1"/>
      <w:numFmt w:val="lowerLetter"/>
      <w:lvlText w:val="%8"/>
      <w:lvlJc w:val="left"/>
      <w:pPr>
        <w:ind w:left="714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FC6884">
      <w:start w:val="1"/>
      <w:numFmt w:val="lowerRoman"/>
      <w:lvlText w:val="%9"/>
      <w:lvlJc w:val="left"/>
      <w:pPr>
        <w:ind w:left="786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0479F"/>
    <w:multiLevelType w:val="hybridMultilevel"/>
    <w:tmpl w:val="AD86A05A"/>
    <w:lvl w:ilvl="0" w:tplc="2F9022E4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6944E">
      <w:start w:val="1"/>
      <w:numFmt w:val="bullet"/>
      <w:lvlText w:val="•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C594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6DC5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041A8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02614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2190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6919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CA36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AB6B00"/>
    <w:multiLevelType w:val="hybridMultilevel"/>
    <w:tmpl w:val="535435EE"/>
    <w:lvl w:ilvl="0" w:tplc="4532F074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63C92">
      <w:start w:val="1"/>
      <w:numFmt w:val="lowerLetter"/>
      <w:lvlText w:val="%2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66B6A6">
      <w:start w:val="1"/>
      <w:numFmt w:val="lowerRoman"/>
      <w:lvlText w:val="%3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D0BB5A">
      <w:start w:val="1"/>
      <w:numFmt w:val="decimal"/>
      <w:lvlText w:val="%4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CDD28">
      <w:start w:val="1"/>
      <w:numFmt w:val="lowerLetter"/>
      <w:lvlText w:val="%5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A9D84">
      <w:start w:val="1"/>
      <w:numFmt w:val="lowerRoman"/>
      <w:lvlText w:val="%6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007F0">
      <w:start w:val="1"/>
      <w:numFmt w:val="decimal"/>
      <w:lvlText w:val="%7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819BE">
      <w:start w:val="1"/>
      <w:numFmt w:val="lowerLetter"/>
      <w:lvlText w:val="%8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AE88E">
      <w:start w:val="1"/>
      <w:numFmt w:val="lowerRoman"/>
      <w:lvlText w:val="%9"/>
      <w:lvlJc w:val="left"/>
      <w:pPr>
        <w:ind w:left="63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4338491">
    <w:abstractNumId w:val="2"/>
  </w:num>
  <w:num w:numId="2" w16cid:durableId="636452737">
    <w:abstractNumId w:val="1"/>
  </w:num>
  <w:num w:numId="3" w16cid:durableId="1173757591">
    <w:abstractNumId w:val="0"/>
  </w:num>
  <w:num w:numId="4" w16cid:durableId="19866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33"/>
    <w:rsid w:val="00242654"/>
    <w:rsid w:val="005D799B"/>
    <w:rsid w:val="00730B7A"/>
    <w:rsid w:val="007E4635"/>
    <w:rsid w:val="00BE2CD4"/>
    <w:rsid w:val="00BE5533"/>
    <w:rsid w:val="00D57B70"/>
    <w:rsid w:val="00D66D3D"/>
    <w:rsid w:val="00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B65C"/>
  <w15:docId w15:val="{4AD05628-1A66-4FFF-BC31-00B0730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3" w:line="309" w:lineRule="auto"/>
      <w:ind w:left="576" w:right="3" w:hanging="576"/>
      <w:jc w:val="both"/>
    </w:pPr>
    <w:rPr>
      <w:rFonts w:ascii="Arial" w:eastAsia="Arial" w:hAnsi="Arial" w:cs="Arial"/>
      <w:color w:val="262626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311" w:lineRule="auto"/>
      <w:ind w:left="10" w:right="2988" w:hanging="10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2"/>
    </w:rPr>
  </w:style>
  <w:style w:type="paragraph" w:styleId="a3">
    <w:name w:val="Revision"/>
    <w:hidden/>
    <w:uiPriority w:val="99"/>
    <w:semiHidden/>
    <w:rsid w:val="00D57B70"/>
    <w:pPr>
      <w:spacing w:after="0" w:line="240" w:lineRule="auto"/>
    </w:pPr>
    <w:rPr>
      <w:rFonts w:ascii="Arial" w:eastAsia="Arial" w:hAnsi="Arial" w:cs="Arial"/>
      <w:color w:val="26262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r.ru/" TargetMode="External"/><Relationship Id="rId13" Type="http://schemas.openxmlformats.org/officeDocument/2006/relationships/hyperlink" Target="https://www.pbsr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https://www.pbsr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bsr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sr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bs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bsr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bsr.ru/" TargetMode="External"/><Relationship Id="rId14" Type="http://schemas.openxmlformats.org/officeDocument/2006/relationships/hyperlink" Target="https://www.pbsr.ru/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Chemlyova, Tatiana [VTBC Broker]</dc:creator>
  <cp:keywords/>
  <cp:lastModifiedBy>Mariia Kotova</cp:lastModifiedBy>
  <cp:revision>4</cp:revision>
  <dcterms:created xsi:type="dcterms:W3CDTF">2024-12-18T11:27:00Z</dcterms:created>
  <dcterms:modified xsi:type="dcterms:W3CDTF">2024-12-18T14:02:00Z</dcterms:modified>
</cp:coreProperties>
</file>